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F0" w:rsidRDefault="008141F0" w:rsidP="008141F0">
      <w:pPr>
        <w:pStyle w:val="a9"/>
        <w:spacing w:before="0" w:after="0" w:line="240" w:lineRule="auto"/>
        <w:ind w:left="862" w:right="862"/>
        <w:rPr>
          <w:sz w:val="48"/>
          <w:szCs w:val="48"/>
        </w:rPr>
      </w:pPr>
      <w:r w:rsidRPr="008141F0">
        <w:rPr>
          <w:sz w:val="48"/>
          <w:szCs w:val="48"/>
        </w:rPr>
        <w:t>Великий Новгород – Валдай</w:t>
      </w:r>
    </w:p>
    <w:p w:rsidR="008141F0" w:rsidRPr="008141F0" w:rsidRDefault="008141F0" w:rsidP="008141F0">
      <w:pPr>
        <w:pStyle w:val="a9"/>
        <w:spacing w:before="0" w:after="0" w:line="240" w:lineRule="auto"/>
        <w:ind w:left="862" w:right="862"/>
        <w:rPr>
          <w:sz w:val="48"/>
          <w:szCs w:val="48"/>
        </w:rPr>
      </w:pPr>
      <w:r w:rsidRPr="008141F0">
        <w:rPr>
          <w:sz w:val="48"/>
          <w:szCs w:val="48"/>
        </w:rPr>
        <w:t xml:space="preserve"> (3 дня/2 ночи)</w:t>
      </w:r>
    </w:p>
    <w:p w:rsidR="008141F0" w:rsidRDefault="008141F0" w:rsidP="008141F0">
      <w:p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b/>
          <w:color w:val="7299BA"/>
          <w:sz w:val="24"/>
          <w:szCs w:val="24"/>
        </w:rPr>
      </w:pPr>
    </w:p>
    <w:p w:rsidR="008141F0" w:rsidRPr="008141F0" w:rsidRDefault="008141F0" w:rsidP="008141F0">
      <w:pPr>
        <w:tabs>
          <w:tab w:val="left" w:pos="993"/>
          <w:tab w:val="left" w:pos="1843"/>
        </w:tabs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1 день. </w:t>
      </w:r>
    </w:p>
    <w:p w:rsidR="008141F0" w:rsidRPr="008141F0" w:rsidRDefault="008141F0" w:rsidP="008141F0">
      <w:pPr>
        <w:tabs>
          <w:tab w:val="left" w:pos="993"/>
          <w:tab w:val="left" w:pos="1843"/>
        </w:tabs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Группа приезжает на поезде. Встреча </w:t>
      </w:r>
      <w:proofErr w:type="gramStart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на </w:t>
      </w:r>
      <w:r>
        <w:rPr>
          <w:rFonts w:ascii="Cambria" w:hAnsi="Cambria" w:cstheme="minorHAnsi"/>
          <w:color w:val="000000" w:themeColor="text1"/>
          <w:sz w:val="18"/>
          <w:szCs w:val="18"/>
        </w:rPr>
        <w:t xml:space="preserve"> ж</w:t>
      </w:r>
      <w:proofErr w:type="gramEnd"/>
      <w:r>
        <w:rPr>
          <w:rFonts w:ascii="Cambria" w:hAnsi="Cambria" w:cstheme="minorHAnsi"/>
          <w:color w:val="000000" w:themeColor="text1"/>
          <w:sz w:val="18"/>
          <w:szCs w:val="18"/>
        </w:rPr>
        <w:t>/д вокзале с табличкой: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на перроне или у центрального входа со стороны перрона. Заезд в гостиницу.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Завтрак в гостинице/хостеле. </w:t>
      </w:r>
    </w:p>
    <w:p w:rsidR="008141F0" w:rsidRPr="008141F0" w:rsidRDefault="008141F0" w:rsidP="008141F0">
      <w:pPr>
        <w:spacing w:after="0" w:line="240" w:lineRule="auto"/>
        <w:ind w:right="-78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>Обзорная экскурсия</w:t>
      </w:r>
      <w:r w:rsidRPr="008141F0">
        <w:rPr>
          <w:rFonts w:ascii="Cambria" w:hAnsi="Cambria" w:cstheme="minorHAnsi"/>
          <w:bCs/>
          <w:color w:val="000000" w:themeColor="text1"/>
          <w:spacing w:val="-4"/>
          <w:sz w:val="18"/>
          <w:szCs w:val="18"/>
        </w:rPr>
        <w:t xml:space="preserve"> по городу и его окрестностей</w:t>
      </w: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 xml:space="preserve"> </w:t>
      </w: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 xml:space="preserve">«Новгород - древнейший центр русского государства» - достопримечательности 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торговая и софийская сторона города, современный город, мост Александра Невского, новгородский Университет имени Ярослава Мудрого; место, где была найдена </w:t>
      </w: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первая Берестяная грамота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; </w:t>
      </w: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церковь Спаса Преображения на Ильине улице 1374 год – уникальная коллекция фресковой живописи Феофана Грека,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Знаменский собор XVII век, церковь Федора </w:t>
      </w:r>
      <w:proofErr w:type="spellStart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>Стратилата</w:t>
      </w:r>
      <w:proofErr w:type="spellEnd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на Ручью 1360-1361 гг. Вы совершите путешествие по </w:t>
      </w:r>
      <w:proofErr w:type="spellStart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>Неревскому</w:t>
      </w:r>
      <w:proofErr w:type="spellEnd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концу Великого Новгорода, увидите церковь Петра и Павла в Кожевниках (1406г.), ансамбль бывшего Зверина монастыря.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Загородная экскурсия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>:</w:t>
      </w: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 xml:space="preserve"> «К истоку седого Волхова».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>«Мир русской деревни» -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</w:t>
      </w:r>
      <w:proofErr w:type="gramStart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>этнографический  музей</w:t>
      </w:r>
      <w:proofErr w:type="gramEnd"/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</w:t>
      </w: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«</w:t>
      </w:r>
      <w:proofErr w:type="spellStart"/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Витославлицы</w:t>
      </w:r>
      <w:proofErr w:type="spellEnd"/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»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</w:t>
      </w:r>
      <w:r w:rsidRPr="008141F0">
        <w:rPr>
          <w:rFonts w:ascii="Cambria" w:hAnsi="Cambria" w:cstheme="minorHAnsi"/>
          <w:color w:val="000000" w:themeColor="text1"/>
          <w:sz w:val="18"/>
          <w:szCs w:val="18"/>
          <w:lang w:val="en-US"/>
        </w:rPr>
        <w:t>XVI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– </w:t>
      </w:r>
      <w:r w:rsidRPr="008141F0">
        <w:rPr>
          <w:rFonts w:ascii="Cambria" w:hAnsi="Cambria" w:cstheme="minorHAnsi"/>
          <w:color w:val="000000" w:themeColor="text1"/>
          <w:sz w:val="18"/>
          <w:szCs w:val="18"/>
          <w:lang w:val="en-US"/>
        </w:rPr>
        <w:t>XIX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вв. – великолепие построек зодчих мастеров средневековья. Здесь собраны уникальные подлинные деревянные строения – церкви, избы, хозяйственные постройки</w:t>
      </w:r>
      <w:r w:rsidRPr="008141F0">
        <w:rPr>
          <w:rFonts w:ascii="Cambria" w:hAnsi="Cambria" w:cstheme="minorHAnsi"/>
          <w:b/>
          <w:bCs/>
          <w:color w:val="000000" w:themeColor="text1"/>
          <w:sz w:val="18"/>
          <w:szCs w:val="18"/>
        </w:rPr>
        <w:t>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>Посещение ремесленных рядов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>Обед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</w:t>
      </w: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 xml:space="preserve">в кафе или ресторане города (комплекс).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Cs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>Театрализованная экскурсионная программа «Летописи древнего города с Новгородской посадницей (посадником)</w:t>
      </w:r>
      <w:r w:rsidRPr="008141F0">
        <w:rPr>
          <w:rFonts w:ascii="Cambria" w:hAnsi="Cambria" w:cstheme="minorHAnsi"/>
          <w:bCs/>
          <w:color w:val="000000" w:themeColor="text1"/>
          <w:spacing w:val="-4"/>
          <w:sz w:val="18"/>
          <w:szCs w:val="18"/>
        </w:rPr>
        <w:t xml:space="preserve">, анимированная экскурсия по старому городу с Новгородской посадницей (посадником) в историческом костюме: вы </w:t>
      </w:r>
      <w:proofErr w:type="gramStart"/>
      <w:r w:rsidRPr="008141F0">
        <w:rPr>
          <w:rFonts w:ascii="Cambria" w:hAnsi="Cambria" w:cstheme="minorHAnsi"/>
          <w:bCs/>
          <w:color w:val="000000" w:themeColor="text1"/>
          <w:spacing w:val="-4"/>
          <w:sz w:val="18"/>
          <w:szCs w:val="18"/>
        </w:rPr>
        <w:t>посетите  Древний</w:t>
      </w:r>
      <w:proofErr w:type="gramEnd"/>
      <w:r w:rsidRPr="008141F0">
        <w:rPr>
          <w:rFonts w:ascii="Cambria" w:hAnsi="Cambria" w:cstheme="minorHAnsi"/>
          <w:bCs/>
          <w:color w:val="000000" w:themeColor="text1"/>
          <w:spacing w:val="-4"/>
          <w:sz w:val="18"/>
          <w:szCs w:val="18"/>
        </w:rPr>
        <w:t xml:space="preserve"> торг, Кремль, осмотрите памятник Тысячелетия России, 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>узнаете множество легенд  и сказаний о граде Новгороде, о Кремле, Святой Софии, о дружине новгородской.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Cs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>Далее на выбор:</w:t>
      </w:r>
    </w:p>
    <w:p w:rsidR="008141F0" w:rsidRPr="008141F0" w:rsidRDefault="008141F0" w:rsidP="008141F0">
      <w:pPr>
        <w:pStyle w:val="a7"/>
        <w:numPr>
          <w:ilvl w:val="0"/>
          <w:numId w:val="1"/>
        </w:num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Экскурсия «Берестяная Почта столетий» 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>Коллекция Новгородского музея является самым большим в мире собранием средневековых археологических предметов и имеет эталонный характер. Вы познакомитесь с уникальной коллекцией берестяных грамот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</w:t>
      </w: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>ИЛИ</w:t>
      </w:r>
    </w:p>
    <w:p w:rsidR="008141F0" w:rsidRPr="008141F0" w:rsidRDefault="008141F0" w:rsidP="008141F0">
      <w:pPr>
        <w:pStyle w:val="a7"/>
        <w:numPr>
          <w:ilvl w:val="0"/>
          <w:numId w:val="1"/>
        </w:num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 xml:space="preserve">Экскурсия «Музей письменности». 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Экспозиция рассказывает об истории древнерусской книги, искусстве книжного украшения, развитии книгопечатания в России, судьбе новгородских библиотек. В музее вы увидите надписи, сделанные древними новгородцами на предметах быта, древнерусские монеты и печати, каменные кресты и фрагменты штукатурки с кириллическими и глаголическими надписями; узнаете о ремеслах и декоративно-прикладном искусстве новгородцев. </w:t>
      </w:r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>Музей письменности представляет около двухсот предметов из фондов Новгородского музея-заповедника.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Свободное время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>2 день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Завтрак в гостинице/хостеле.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 xml:space="preserve">Экскурсия «Золотая кладовая Великого Новгорода». 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Экскурсия во Владычную (</w:t>
      </w:r>
      <w:proofErr w:type="spellStart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Грановитую</w:t>
      </w:r>
      <w:proofErr w:type="spellEnd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) </w:t>
      </w:r>
      <w:proofErr w:type="gramStart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палату,  это</w:t>
      </w:r>
      <w:proofErr w:type="gramEnd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единственная сохранившаяся до наших дней постройка архитектурного комплекса Владычного двора, сооруженного, согласно летописи, по инициативе новгородского архиепископа </w:t>
      </w:r>
      <w:proofErr w:type="spellStart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Евфимия</w:t>
      </w:r>
      <w:proofErr w:type="spellEnd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II в 1430–1440-е гг.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Интерактивная программа – </w:t>
      </w:r>
      <w:proofErr w:type="spellStart"/>
      <w:proofErr w:type="gramStart"/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квест</w:t>
      </w:r>
      <w:proofErr w:type="spellEnd"/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 «</w:t>
      </w:r>
      <w:proofErr w:type="gramEnd"/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Соколиный двор»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Экспозиция знакомит с историей соколиной охоты как традиционного занятия на Руси и дает представление о наиболее характерных видах пернатых хищников как используемых для соколиной охоты, так и просто обитающих на территории Новгородской области.</w:t>
      </w:r>
    </w:p>
    <w:p w:rsidR="008141F0" w:rsidRPr="008141F0" w:rsidRDefault="008141F0" w:rsidP="008141F0">
      <w:pPr>
        <w:spacing w:after="0" w:line="240" w:lineRule="auto"/>
        <w:jc w:val="both"/>
        <w:rPr>
          <w:rStyle w:val="a5"/>
          <w:rFonts w:ascii="Cambria" w:hAnsi="Cambria" w:cstheme="minorHAnsi"/>
          <w:i w:val="0"/>
          <w:color w:val="000000" w:themeColor="text1"/>
          <w:sz w:val="18"/>
          <w:szCs w:val="18"/>
        </w:rPr>
      </w:pPr>
      <w:r w:rsidRPr="008141F0">
        <w:rPr>
          <w:rStyle w:val="a5"/>
          <w:rFonts w:ascii="Cambria" w:hAnsi="Cambria" w:cstheme="minorHAnsi"/>
          <w:color w:val="000000" w:themeColor="text1"/>
          <w:sz w:val="18"/>
          <w:szCs w:val="18"/>
        </w:rPr>
        <w:t xml:space="preserve">На выставке представлены живые дневные и ночные хищные птицы: черный коршун, осоед, ястреб-тетеревятник, ястреб-перепелятник, сарыч, </w:t>
      </w:r>
      <w:proofErr w:type="spellStart"/>
      <w:r w:rsidRPr="008141F0">
        <w:rPr>
          <w:rStyle w:val="a5"/>
          <w:rFonts w:ascii="Cambria" w:hAnsi="Cambria" w:cstheme="minorHAnsi"/>
          <w:color w:val="000000" w:themeColor="text1"/>
          <w:sz w:val="18"/>
          <w:szCs w:val="18"/>
        </w:rPr>
        <w:t>балобан</w:t>
      </w:r>
      <w:proofErr w:type="spellEnd"/>
      <w:r w:rsidRPr="008141F0">
        <w:rPr>
          <w:rStyle w:val="a5"/>
          <w:rFonts w:ascii="Cambria" w:hAnsi="Cambria" w:cstheme="minorHAnsi"/>
          <w:color w:val="000000" w:themeColor="text1"/>
          <w:sz w:val="18"/>
          <w:szCs w:val="18"/>
        </w:rPr>
        <w:t>, сапсан, чеглок, пустельга, филин, серая неясыть, сипуха, ушастая сова, ворон.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 xml:space="preserve">Обед в кафе или ресторане города (комплекс).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  <w:proofErr w:type="gramStart"/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>Интерактивная  прогулка</w:t>
      </w:r>
      <w:proofErr w:type="gramEnd"/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 xml:space="preserve">  «Зарисовки из жизни людей и вещей древнего Новгорода».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Это уникальная возможность прогуляться по импровизированным историческим площадкам средневекового Новгорода, не выходя за пределы </w:t>
      </w:r>
      <w:proofErr w:type="spellStart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Николо</w:t>
      </w:r>
      <w:proofErr w:type="spellEnd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-Бельского монастыря. Наши гости посетят «Приказную палату</w:t>
      </w:r>
      <w:proofErr w:type="gramStart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»,  «</w:t>
      </w:r>
      <w:proofErr w:type="gramEnd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Гостевой» и «Грамотный» дворы;  “Девичий терем”;  «затейную» и гончарную мастерские;  «свечную» лавку,  «гридницу»;  услышат колокольные звоны. Каждый получит на память «проезжую грамоту» и сможет изготовить свечу из вощины.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lastRenderedPageBreak/>
        <w:t xml:space="preserve">Свободное время. </w:t>
      </w:r>
    </w:p>
    <w:p w:rsidR="008141F0" w:rsidRPr="008141F0" w:rsidRDefault="008141F0" w:rsidP="008141F0">
      <w:pPr>
        <w:tabs>
          <w:tab w:val="left" w:pos="993"/>
          <w:tab w:val="left" w:pos="1843"/>
        </w:tabs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tabs>
          <w:tab w:val="left" w:pos="993"/>
          <w:tab w:val="left" w:pos="1843"/>
        </w:tabs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3 день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Завтрак в гостинице/хостеле.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Освобождение номеров (вещи в камеру хранения).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>Поездка в г. Валдай (</w:t>
      </w:r>
      <w:smartTag w:uri="urn:schemas-microsoft-com:office:smarttags" w:element="metricconverter">
        <w:smartTagPr>
          <w:attr w:name="ProductID" w:val="132 км"/>
        </w:smartTagPr>
        <w:r w:rsidRPr="008141F0">
          <w:rPr>
            <w:rFonts w:ascii="Cambria" w:hAnsi="Cambria" w:cstheme="minorHAnsi"/>
            <w:color w:val="000000" w:themeColor="text1"/>
            <w:sz w:val="18"/>
            <w:szCs w:val="18"/>
          </w:rPr>
          <w:t>132 км</w:t>
        </w:r>
      </w:smartTag>
      <w:r w:rsidRPr="008141F0">
        <w:rPr>
          <w:rFonts w:ascii="Cambria" w:hAnsi="Cambria" w:cstheme="minorHAnsi"/>
          <w:color w:val="000000" w:themeColor="text1"/>
          <w:sz w:val="18"/>
          <w:szCs w:val="18"/>
        </w:rPr>
        <w:t>).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 xml:space="preserve">Загородная экскурсия «В край звенящих колокольчиков» </w:t>
      </w:r>
      <w:proofErr w:type="gramStart"/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>на  Валдай</w:t>
      </w:r>
      <w:proofErr w:type="gramEnd"/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 xml:space="preserve"> 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– этот небольшой древний городок основан почти пять веков назад. Расположился он среди живописных холмов, вековых лесов и озер.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Посещение колокольного центра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.  Экспозиция Музейного колокольного центра охватывает широчайший спектр колокольной истории, с момента зарождения древних ритуальных колокольчиков и до современных образцов колокольного литья российских Колокололитейных заводов. Во время экскурсии вы узнаете, как и для чего используются колокола разными народами в прошлом и настоящем, как и где колокол выполняет сигнальные функции.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Далее экскурсия на выбор: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Вариант 1 - Экспозицию «Путешествие от Селигера до </w:t>
      </w:r>
      <w:proofErr w:type="spellStart"/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Боровно</w:t>
      </w:r>
      <w:proofErr w:type="spellEnd"/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»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- посещение интерактивной экспозиции, расположенной в Визит-центре национального парка «Валдайский». Увидеть, потрогать, почувствовать запахи, услышать звуки природы, попробовать болото «на вкус», побывать в разных временных эпохах, представить себя археологами и еще много таинственного и познавательного ожидает каждого посетителя экспозиции.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</w:pP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Вариант 2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– </w:t>
      </w: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экологическая тропа «Раздвигая возможности».</w:t>
      </w:r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 xml:space="preserve"> Тропа включает </w:t>
      </w:r>
      <w:proofErr w:type="gramStart"/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>спуск  по</w:t>
      </w:r>
      <w:proofErr w:type="gramEnd"/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 xml:space="preserve"> лесной дороге через сосновый лес и ельник в ложбину, где у подножья холма выбиваются из земли прозрачные ключи, и начинается ручей.  Здесь Вы почувствуете себя наедине с природой, удовлетворите свое любопытство в её познании. Экскурсии по тропе интересны во все времена года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 xml:space="preserve">Вариант 3 – </w:t>
      </w: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>интерактивная развлекательно-познавательная программа</w:t>
      </w: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 "</w:t>
      </w:r>
      <w:r w:rsidRPr="008141F0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ВАЛДАЙСКИЕ РОССКАЗНИ". </w:t>
      </w:r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 xml:space="preserve">Гости познакомятся с моделями колоколов разных времён, народов. Через предания, игры и местные традиции рассказывается гостям о провинциальном укладе жизни, жизненных приоритетах, занятиях </w:t>
      </w:r>
      <w:proofErr w:type="spellStart"/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>валдашей</w:t>
      </w:r>
      <w:proofErr w:type="spellEnd"/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 xml:space="preserve"> в ХVIII- нач. ХХ </w:t>
      </w:r>
      <w:proofErr w:type="spellStart"/>
      <w:r w:rsidRPr="008141F0">
        <w:rPr>
          <w:rFonts w:ascii="Cambria" w:hAnsi="Cambria" w:cstheme="minorHAnsi"/>
          <w:color w:val="000000" w:themeColor="text1"/>
          <w:sz w:val="18"/>
          <w:szCs w:val="18"/>
          <w:shd w:val="clear" w:color="auto" w:fill="FFFFFF"/>
        </w:rPr>
        <w:t>вв</w:t>
      </w:r>
      <w:proofErr w:type="spellEnd"/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>Обед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</w:t>
      </w:r>
      <w:r w:rsidRPr="008141F0">
        <w:rPr>
          <w:rFonts w:ascii="Cambria" w:hAnsi="Cambria" w:cstheme="minorHAnsi"/>
          <w:b/>
          <w:color w:val="000000" w:themeColor="text1"/>
          <w:spacing w:val="-4"/>
          <w:sz w:val="18"/>
          <w:szCs w:val="18"/>
        </w:rPr>
        <w:t>на Валдае в кафе (комплекс).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Посещение Жемчужины русского зодчества – </w:t>
      </w:r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 xml:space="preserve">Валдайский </w:t>
      </w:r>
      <w:proofErr w:type="spellStart"/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>Иверский</w:t>
      </w:r>
      <w:proofErr w:type="spellEnd"/>
      <w:r w:rsidRPr="008141F0">
        <w:rPr>
          <w:rFonts w:ascii="Cambria" w:hAnsi="Cambria" w:cstheme="minorHAnsi"/>
          <w:b/>
          <w:bCs/>
          <w:color w:val="000000" w:themeColor="text1"/>
          <w:spacing w:val="-4"/>
          <w:sz w:val="18"/>
          <w:szCs w:val="18"/>
        </w:rPr>
        <w:t xml:space="preserve"> Богородицкий Свято-Озерский мужской монастырь</w:t>
      </w:r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1635 г., расположен на живописном </w:t>
      </w:r>
      <w:proofErr w:type="spellStart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>Селевецком</w:t>
      </w:r>
      <w:proofErr w:type="spellEnd"/>
      <w:r w:rsidRPr="008141F0">
        <w:rPr>
          <w:rFonts w:ascii="Cambria" w:hAnsi="Cambria" w:cstheme="minorHAnsi"/>
          <w:color w:val="000000" w:themeColor="text1"/>
          <w:spacing w:val="-4"/>
          <w:sz w:val="18"/>
          <w:szCs w:val="18"/>
        </w:rPr>
        <w:t xml:space="preserve"> острове Валдайского озера (по желанию)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Возвращение в Великий Новгород.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 xml:space="preserve">Свободное время. 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8141F0">
        <w:rPr>
          <w:rFonts w:ascii="Cambria" w:hAnsi="Cambria" w:cstheme="minorHAnsi"/>
          <w:color w:val="000000" w:themeColor="text1"/>
          <w:sz w:val="18"/>
          <w:szCs w:val="18"/>
        </w:rPr>
        <w:t>Отъезд на ж/д вокзал.</w:t>
      </w:r>
    </w:p>
    <w:p w:rsidR="008141F0" w:rsidRPr="008141F0" w:rsidRDefault="008141F0" w:rsidP="008141F0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</w:p>
    <w:p w:rsidR="008141F0" w:rsidRPr="008141F0" w:rsidRDefault="008141F0" w:rsidP="008141F0">
      <w:pPr>
        <w:rPr>
          <w:rFonts w:ascii="Cambria" w:hAnsi="Cambria"/>
          <w:b/>
        </w:rPr>
      </w:pPr>
      <w:r w:rsidRPr="008141F0">
        <w:rPr>
          <w:rFonts w:ascii="Cambria" w:hAnsi="Cambria"/>
          <w:b/>
        </w:rPr>
        <w:t>В стоимость включено: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 xml:space="preserve">проживание в гостинице выбранной категории; 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 xml:space="preserve">питание (завтрак, обед); 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 xml:space="preserve">экскурсионная программа (вкл. </w:t>
      </w:r>
      <w:proofErr w:type="spellStart"/>
      <w:r w:rsidRPr="008141F0">
        <w:rPr>
          <w:rFonts w:ascii="Cambria" w:hAnsi="Cambria"/>
        </w:rPr>
        <w:t>вх</w:t>
      </w:r>
      <w:proofErr w:type="spellEnd"/>
      <w:r w:rsidRPr="008141F0">
        <w:rPr>
          <w:rFonts w:ascii="Cambria" w:hAnsi="Cambria"/>
        </w:rPr>
        <w:t xml:space="preserve">. билеты в музеи); 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 xml:space="preserve">услуги гида; 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 xml:space="preserve">транспортное сопровождение по программе тура. </w:t>
      </w:r>
    </w:p>
    <w:p w:rsidR="008141F0" w:rsidRPr="008141F0" w:rsidRDefault="008141F0" w:rsidP="008141F0">
      <w:pPr>
        <w:rPr>
          <w:rFonts w:ascii="Cambria" w:hAnsi="Cambria"/>
        </w:rPr>
      </w:pP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>Внимание: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>Расчетный час в гостинице 12.00 (размещение до 12.00 по возможности отеля)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>В программу предлагаем включить дополнительные экскурсии.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>Фирма оставляет за собой право изменять порядок программы, не уменьшая ее общего объема.</w:t>
      </w:r>
    </w:p>
    <w:p w:rsidR="008141F0" w:rsidRPr="008141F0" w:rsidRDefault="008141F0" w:rsidP="008141F0">
      <w:pPr>
        <w:pStyle w:val="a7"/>
        <w:numPr>
          <w:ilvl w:val="0"/>
          <w:numId w:val="2"/>
        </w:numPr>
        <w:rPr>
          <w:rFonts w:ascii="Cambria" w:hAnsi="Cambria"/>
        </w:rPr>
      </w:pPr>
      <w:r w:rsidRPr="008141F0">
        <w:rPr>
          <w:rFonts w:ascii="Cambria" w:hAnsi="Cambria"/>
        </w:rPr>
        <w:t xml:space="preserve">Все цены — нетто, просим уточнять при бронировании </w:t>
      </w:r>
    </w:p>
    <w:p w:rsidR="008141F0" w:rsidRPr="008141F0" w:rsidRDefault="008141F0" w:rsidP="008141F0">
      <w:pPr>
        <w:rPr>
          <w:rFonts w:ascii="Cambria" w:hAnsi="Cambria"/>
        </w:rPr>
      </w:pPr>
      <w:r w:rsidRPr="008141F0">
        <w:rPr>
          <w:rFonts w:ascii="Cambria" w:hAnsi="Cambria"/>
        </w:rPr>
        <w:t>Тариф недействителен в праздничные дни.</w:t>
      </w:r>
    </w:p>
    <w:p w:rsidR="008141F0" w:rsidRDefault="008141F0" w:rsidP="008141F0">
      <w:pPr>
        <w:spacing w:after="0" w:line="240" w:lineRule="auto"/>
        <w:rPr>
          <w:b/>
          <w:sz w:val="28"/>
          <w:lang w:eastAsia="ru-RU"/>
        </w:rPr>
      </w:pPr>
    </w:p>
    <w:p w:rsidR="008141F0" w:rsidRDefault="008141F0" w:rsidP="008141F0">
      <w:pPr>
        <w:spacing w:after="0" w:line="240" w:lineRule="auto"/>
        <w:rPr>
          <w:b/>
          <w:sz w:val="28"/>
          <w:lang w:eastAsia="ru-RU"/>
        </w:rPr>
      </w:pPr>
    </w:p>
    <w:p w:rsidR="008141F0" w:rsidRDefault="008141F0" w:rsidP="008141F0">
      <w:pPr>
        <w:spacing w:after="0" w:line="240" w:lineRule="auto"/>
        <w:rPr>
          <w:b/>
          <w:sz w:val="28"/>
          <w:lang w:eastAsia="ru-RU"/>
        </w:rPr>
      </w:pPr>
    </w:p>
    <w:p w:rsidR="008141F0" w:rsidRPr="00FE4733" w:rsidRDefault="008141F0" w:rsidP="008141F0">
      <w:pPr>
        <w:spacing w:after="0" w:line="240" w:lineRule="auto"/>
        <w:rPr>
          <w:b/>
          <w:sz w:val="28"/>
          <w:lang w:eastAsia="ru-RU"/>
        </w:rPr>
      </w:pPr>
      <w:r w:rsidRPr="00FE4733">
        <w:rPr>
          <w:b/>
          <w:sz w:val="28"/>
          <w:lang w:eastAsia="ru-RU"/>
        </w:rPr>
        <w:lastRenderedPageBreak/>
        <w:t xml:space="preserve">Стоимость тура указана за 1го </w:t>
      </w:r>
      <w:proofErr w:type="gramStart"/>
      <w:r w:rsidRPr="00FE4733">
        <w:rPr>
          <w:b/>
          <w:sz w:val="28"/>
          <w:lang w:eastAsia="ru-RU"/>
        </w:rPr>
        <w:t xml:space="preserve">человека: </w:t>
      </w:r>
      <w:r>
        <w:rPr>
          <w:b/>
          <w:sz w:val="28"/>
          <w:lang w:eastAsia="ru-RU"/>
        </w:rPr>
        <w:t xml:space="preserve"> (</w:t>
      </w:r>
      <w:proofErr w:type="gramEnd"/>
      <w:r>
        <w:rPr>
          <w:b/>
          <w:sz w:val="28"/>
          <w:lang w:eastAsia="ru-RU"/>
        </w:rPr>
        <w:t>НЕТТО)</w:t>
      </w:r>
    </w:p>
    <w:tbl>
      <w:tblPr>
        <w:tblStyle w:val="a8"/>
        <w:tblW w:w="10243" w:type="dxa"/>
        <w:tblInd w:w="-572" w:type="dxa"/>
        <w:tblLook w:val="0000" w:firstRow="0" w:lastRow="0" w:firstColumn="0" w:lastColumn="0" w:noHBand="0" w:noVBand="0"/>
      </w:tblPr>
      <w:tblGrid>
        <w:gridCol w:w="2236"/>
        <w:gridCol w:w="794"/>
        <w:gridCol w:w="794"/>
        <w:gridCol w:w="794"/>
        <w:gridCol w:w="794"/>
        <w:gridCol w:w="798"/>
        <w:gridCol w:w="1231"/>
        <w:gridCol w:w="1452"/>
        <w:gridCol w:w="1350"/>
      </w:tblGrid>
      <w:tr w:rsidR="008141F0" w:rsidRPr="00AE49B4" w:rsidTr="008141F0">
        <w:trPr>
          <w:trHeight w:val="462"/>
        </w:trPr>
        <w:tc>
          <w:tcPr>
            <w:tcW w:w="2236" w:type="dxa"/>
            <w:vMerge w:val="restart"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Гостиница / 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3974" w:type="dxa"/>
            <w:gridSpan w:val="5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 дня/2 ночи</w:t>
            </w:r>
          </w:p>
        </w:tc>
        <w:tc>
          <w:tcPr>
            <w:tcW w:w="1231" w:type="dxa"/>
            <w:vMerge w:val="restart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Пакет Ужины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(3 ужина) в гостинице</w:t>
            </w:r>
          </w:p>
        </w:tc>
        <w:tc>
          <w:tcPr>
            <w:tcW w:w="1452" w:type="dxa"/>
            <w:vMerge w:val="restart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Пакет Ужины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(3 ужина) в кафе пешей доступности</w:t>
            </w:r>
          </w:p>
        </w:tc>
        <w:tc>
          <w:tcPr>
            <w:tcW w:w="1347" w:type="dxa"/>
            <w:vMerge w:val="restart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Доплата за SGL</w:t>
            </w:r>
            <w:r w:rsidRPr="008141F0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br/>
              <w:t>в сутки (</w:t>
            </w:r>
            <w:proofErr w:type="spellStart"/>
            <w:r w:rsidRPr="008141F0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8141F0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/сутки)</w:t>
            </w:r>
          </w:p>
        </w:tc>
      </w:tr>
      <w:tr w:rsidR="008141F0" w:rsidRPr="00BD360D" w:rsidTr="008141F0">
        <w:trPr>
          <w:trHeight w:val="733"/>
        </w:trPr>
        <w:tc>
          <w:tcPr>
            <w:tcW w:w="2236" w:type="dxa"/>
            <w:vMerge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4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10 чел.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+1 (б-но)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 чел.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+1 (б-но)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 чел.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+ 2 (б-но)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30 чел.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+ 3 (б-но)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40 чел.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+ 4 (б-но)</w:t>
            </w:r>
          </w:p>
        </w:tc>
        <w:tc>
          <w:tcPr>
            <w:tcW w:w="1231" w:type="dxa"/>
            <w:vMerge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41F0" w:rsidRPr="00715598" w:rsidTr="008141F0">
        <w:trPr>
          <w:trHeight w:val="428"/>
        </w:trPr>
        <w:tc>
          <w:tcPr>
            <w:tcW w:w="2236" w:type="dxa"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Хостел 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комплекс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355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990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1231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52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47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141F0" w:rsidRPr="00AE49B4" w:rsidTr="008141F0">
        <w:trPr>
          <w:trHeight w:val="428"/>
        </w:trPr>
        <w:tc>
          <w:tcPr>
            <w:tcW w:w="2236" w:type="dxa"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*Гост. «Садко» ***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 3х – местное размещение  </w:t>
            </w:r>
          </w:p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065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13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760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025</w:t>
            </w:r>
          </w:p>
        </w:tc>
        <w:tc>
          <w:tcPr>
            <w:tcW w:w="1231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452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47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600</w:t>
            </w:r>
          </w:p>
        </w:tc>
      </w:tr>
      <w:tr w:rsidR="008141F0" w:rsidRPr="00AE49B4" w:rsidTr="008141F0">
        <w:trPr>
          <w:trHeight w:val="804"/>
        </w:trPr>
        <w:tc>
          <w:tcPr>
            <w:tcW w:w="2236" w:type="dxa"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  <w:lang w:val="en-US"/>
              </w:rPr>
              <w:t>AMAKS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 отель Россия» ***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2х,3х,4х - местное размещение 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19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015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890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585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ind w:left="-108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1231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2250</w:t>
            </w:r>
          </w:p>
        </w:tc>
        <w:tc>
          <w:tcPr>
            <w:tcW w:w="1452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47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1750</w:t>
            </w:r>
          </w:p>
        </w:tc>
      </w:tr>
      <w:tr w:rsidR="008141F0" w:rsidRPr="00AE49B4" w:rsidTr="008141F0">
        <w:trPr>
          <w:trHeight w:val="381"/>
        </w:trPr>
        <w:tc>
          <w:tcPr>
            <w:tcW w:w="2236" w:type="dxa"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</w:t>
            </w:r>
            <w:proofErr w:type="gramStart"/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Интурист»*</w:t>
            </w:r>
            <w:proofErr w:type="gramEnd"/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**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2х,3х - местное размещение 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805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070</w:t>
            </w:r>
          </w:p>
        </w:tc>
        <w:tc>
          <w:tcPr>
            <w:tcW w:w="1231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452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47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</w:tr>
      <w:tr w:rsidR="008141F0" w:rsidRPr="00AE49B4" w:rsidTr="008141F0">
        <w:trPr>
          <w:trHeight w:val="381"/>
        </w:trPr>
        <w:tc>
          <w:tcPr>
            <w:tcW w:w="2236" w:type="dxa"/>
          </w:tcPr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«Волхов» ****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21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050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875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925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620</w:t>
            </w:r>
          </w:p>
        </w:tc>
        <w:tc>
          <w:tcPr>
            <w:tcW w:w="794" w:type="dxa"/>
          </w:tcPr>
          <w:p w:rsidR="008141F0" w:rsidRPr="008141F0" w:rsidRDefault="002D2A3C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="008141F0"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885</w:t>
            </w:r>
          </w:p>
        </w:tc>
        <w:tc>
          <w:tcPr>
            <w:tcW w:w="1231" w:type="dxa"/>
          </w:tcPr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2700 </w:t>
            </w:r>
          </w:p>
          <w:p w:rsidR="008141F0" w:rsidRPr="008141F0" w:rsidRDefault="008141F0" w:rsidP="008141F0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47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1150</w:t>
            </w:r>
          </w:p>
        </w:tc>
      </w:tr>
      <w:tr w:rsidR="008141F0" w:rsidRPr="00AE49B4" w:rsidTr="008141F0">
        <w:trPr>
          <w:trHeight w:val="381"/>
        </w:trPr>
        <w:tc>
          <w:tcPr>
            <w:tcW w:w="2236" w:type="dxa"/>
          </w:tcPr>
          <w:p w:rsidR="008141F0" w:rsidRPr="008141F0" w:rsidRDefault="008141F0" w:rsidP="008141F0">
            <w:pPr>
              <w:tabs>
                <w:tab w:val="left" w:pos="-312"/>
                <w:tab w:val="left" w:pos="993"/>
              </w:tabs>
              <w:spacing w:after="0" w:line="24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«Береста Парк отель» **** 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8141F0" w:rsidRPr="008141F0" w:rsidRDefault="008141F0" w:rsidP="008141F0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535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410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</w:t>
            </w: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794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2D2A3C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</w:t>
            </w:r>
            <w:bookmarkStart w:id="0" w:name="_GoBack"/>
            <w:bookmarkEnd w:id="0"/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1231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452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47" w:type="dxa"/>
          </w:tcPr>
          <w:p w:rsidR="008141F0" w:rsidRPr="008141F0" w:rsidRDefault="008141F0" w:rsidP="008141F0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8141F0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2730</w:t>
            </w:r>
          </w:p>
        </w:tc>
      </w:tr>
      <w:tr w:rsidR="008141F0" w:rsidRPr="00307B0B" w:rsidTr="008141F0">
        <w:trPr>
          <w:trHeight w:val="693"/>
        </w:trPr>
        <w:tc>
          <w:tcPr>
            <w:tcW w:w="10243" w:type="dxa"/>
            <w:gridSpan w:val="9"/>
          </w:tcPr>
          <w:p w:rsidR="008141F0" w:rsidRDefault="008141F0" w:rsidP="008141F0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Доплата за экскурсионную программу</w:t>
            </w:r>
            <w:r w:rsidRPr="00AE49B4">
              <w:rPr>
                <w:rFonts w:cstheme="minorHAnsi"/>
                <w:b/>
                <w:bCs/>
                <w:i/>
                <w:sz w:val="24"/>
                <w:szCs w:val="28"/>
              </w:rPr>
              <w:t xml:space="preserve"> </w:t>
            </w: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на взрослого в составе группы школьников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: 1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8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20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руб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/чел.</w:t>
            </w:r>
          </w:p>
          <w:p w:rsidR="008141F0" w:rsidRPr="00307B0B" w:rsidRDefault="008141F0" w:rsidP="008141F0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Доплата за экскурсионную программу на учащегося старше 14 лет в составе группы школьников: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8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50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руб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/чел.</w:t>
            </w:r>
          </w:p>
        </w:tc>
      </w:tr>
      <w:tr w:rsidR="008141F0" w:rsidRPr="000E44DD" w:rsidTr="008141F0">
        <w:trPr>
          <w:trHeight w:val="381"/>
        </w:trPr>
        <w:tc>
          <w:tcPr>
            <w:tcW w:w="10243" w:type="dxa"/>
            <w:gridSpan w:val="9"/>
          </w:tcPr>
          <w:p w:rsidR="008141F0" w:rsidRPr="000E44DD" w:rsidRDefault="008141F0" w:rsidP="00D0683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</w:pP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Внимание! При проживании в гостинице «Садко»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если количество взрослых превышает допустимое </w:t>
            </w:r>
            <w:proofErr w:type="gramStart"/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значение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 -</w:t>
            </w:r>
            <w:proofErr w:type="gramEnd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за взросл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ого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берется доплата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в размере 5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00 руб./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сут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.</w:t>
            </w:r>
          </w:p>
        </w:tc>
      </w:tr>
    </w:tbl>
    <w:p w:rsidR="008141F0" w:rsidRDefault="008141F0" w:rsidP="008141F0">
      <w:pPr>
        <w:spacing w:after="0" w:line="240" w:lineRule="auto"/>
      </w:pPr>
    </w:p>
    <w:p w:rsidR="008141F0" w:rsidRDefault="008141F0" w:rsidP="008141F0">
      <w:r>
        <w:br w:type="page"/>
      </w:r>
    </w:p>
    <w:p w:rsidR="008826C0" w:rsidRDefault="008826C0"/>
    <w:sectPr w:rsidR="0088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93F"/>
    <w:multiLevelType w:val="hybridMultilevel"/>
    <w:tmpl w:val="6CD6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66444"/>
    <w:multiLevelType w:val="hybridMultilevel"/>
    <w:tmpl w:val="A322DFF4"/>
    <w:lvl w:ilvl="0" w:tplc="167E292E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F0"/>
    <w:rsid w:val="002D2A3C"/>
    <w:rsid w:val="00344ADC"/>
    <w:rsid w:val="008141F0"/>
    <w:rsid w:val="008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6BC7-4362-4E1A-89EE-48A13962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1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14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8141F0"/>
    <w:pPr>
      <w:pBdr>
        <w:bottom w:val="single" w:sz="8" w:space="4" w:color="5B9BD5" w:themeColor="accent1"/>
      </w:pBdr>
      <w:spacing w:before="480" w:after="300" w:line="240" w:lineRule="auto"/>
      <w:contextualSpacing/>
    </w:pPr>
    <w:rPr>
      <w:b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41F0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qFormat/>
    <w:rsid w:val="008141F0"/>
    <w:rPr>
      <w:i/>
      <w:iCs/>
    </w:rPr>
  </w:style>
  <w:style w:type="table" w:styleId="a6">
    <w:name w:val="Table Grid"/>
    <w:basedOn w:val="a1"/>
    <w:uiPriority w:val="59"/>
    <w:rsid w:val="0081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141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Grid Table Light"/>
    <w:basedOn w:val="a1"/>
    <w:uiPriority w:val="40"/>
    <w:rsid w:val="008141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Intense Quote"/>
    <w:basedOn w:val="a"/>
    <w:next w:val="a"/>
    <w:link w:val="aa"/>
    <w:uiPriority w:val="30"/>
    <w:qFormat/>
    <w:rsid w:val="00814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8141F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7036</Characters>
  <Application>Microsoft Office Word</Application>
  <DocSecurity>0</DocSecurity>
  <Lines>146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2025-12-10T14:02:00Z</dcterms:created>
  <dcterms:modified xsi:type="dcterms:W3CDTF">2025-12-10T14:02:00Z</dcterms:modified>
</cp:coreProperties>
</file>